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3" w:type="dxa"/>
        <w:tblLook w:val="04A0"/>
      </w:tblPr>
      <w:tblGrid>
        <w:gridCol w:w="1815"/>
        <w:gridCol w:w="8460"/>
      </w:tblGrid>
      <w:tr w:rsidR="00E67848" w:rsidTr="00E67848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E67848" w:rsidRDefault="00E67848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5505" cy="1029970"/>
                  <wp:effectExtent l="19050" t="0" r="0" b="0"/>
                  <wp:docPr id="1" name="Picture 2" descr="Description: Znak SSCS s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nak SSCS s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noWrap/>
            <w:vAlign w:val="bottom"/>
          </w:tcPr>
          <w:p w:rsidR="00E67848" w:rsidRDefault="00E67848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E67848" w:rsidRDefault="00E67848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E67848" w:rsidRDefault="00E67848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E67848" w:rsidRDefault="00E67848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E67848" w:rsidRDefault="00E67848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E67848" w:rsidRDefault="00E67848" w:rsidP="00E67848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Београд, 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Latn-CS"/>
        </w:rPr>
        <w:t>28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Latn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>.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E67848" w:rsidRDefault="00E67848" w:rsidP="00E67848">
      <w:pPr>
        <w:pBdr>
          <w:top w:val="single" w:sz="4" w:space="1" w:color="auto"/>
        </w:pBdr>
        <w:rPr>
          <w:rFonts w:ascii="Arial" w:hAnsi="Arial" w:cs="Arial"/>
          <w:b/>
          <w:sz w:val="28"/>
          <w:szCs w:val="28"/>
          <w:lang w:val="sr-Cyrl-CS"/>
        </w:rPr>
      </w:pPr>
    </w:p>
    <w:p w:rsidR="00E67848" w:rsidRDefault="00E67848" w:rsidP="00E67848">
      <w:pPr>
        <w:pBdr>
          <w:top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Број: 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Latn-CS"/>
        </w:rPr>
        <w:t>30</w:t>
      </w:r>
    </w:p>
    <w:p w:rsidR="00E67848" w:rsidRDefault="00E67848" w:rsidP="00E67848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РЕГИСТРАЦИЈА КЛУБОВА И ИГРАЧА У 20</w:t>
      </w: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ru-RU"/>
        </w:rPr>
        <w:t>. ГОДИНИ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 xml:space="preserve">Шаховски савез Централне Србије вршиће од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1. до 31.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 марта </w:t>
      </w:r>
      <w:r>
        <w:rPr>
          <w:rFonts w:ascii="Arial" w:hAnsi="Arial" w:cs="Arial"/>
          <w:sz w:val="28"/>
          <w:szCs w:val="28"/>
          <w:lang w:val="ru-RU"/>
        </w:rPr>
        <w:t xml:space="preserve"> и од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15. до 30. јуна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године регистрациј</w:t>
      </w:r>
      <w:r>
        <w:rPr>
          <w:rFonts w:ascii="Arial" w:hAnsi="Arial" w:cs="Arial"/>
          <w:sz w:val="28"/>
          <w:szCs w:val="28"/>
          <w:lang w:val="sr-Cyrl-CS"/>
        </w:rPr>
        <w:t>у ш</w:t>
      </w:r>
      <w:r>
        <w:rPr>
          <w:rFonts w:ascii="Arial" w:hAnsi="Arial" w:cs="Arial"/>
          <w:sz w:val="28"/>
          <w:szCs w:val="28"/>
          <w:lang w:val="ru-RU"/>
        </w:rPr>
        <w:t xml:space="preserve">аховских клубова са територије Шаховског савеза Централне Србије </w:t>
      </w:r>
      <w:r>
        <w:rPr>
          <w:rFonts w:ascii="Arial" w:hAnsi="Arial" w:cs="Arial"/>
          <w:sz w:val="28"/>
          <w:szCs w:val="28"/>
          <w:lang w:val="sr-Cyrl-CS"/>
        </w:rPr>
        <w:t>и Косова и Метохије.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регистрацију клуба за текућу годину клуб је обавезан да </w:t>
      </w:r>
      <w:r>
        <w:rPr>
          <w:rFonts w:ascii="Arial" w:hAnsi="Arial" w:cs="Arial"/>
          <w:sz w:val="28"/>
          <w:szCs w:val="28"/>
          <w:lang w:val="sr-Cyrl-CS"/>
        </w:rPr>
        <w:t>достави:</w:t>
      </w:r>
    </w:p>
    <w:p w:rsidR="00E67848" w:rsidRDefault="00E67848" w:rsidP="00E67848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Попуњен формулар за регистрацију клуба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/>
        </w:rPr>
        <w:t>за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/>
        </w:rPr>
        <w:t xml:space="preserve">. годину </w:t>
      </w:r>
      <w:r>
        <w:rPr>
          <w:rFonts w:ascii="Arial" w:hAnsi="Arial" w:cs="Arial"/>
          <w:sz w:val="28"/>
          <w:szCs w:val="28"/>
          <w:lang w:val="sr-Cyrl-CS"/>
        </w:rPr>
        <w:t>у електронском облику на маил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sz w:val="28"/>
            <w:szCs w:val="28"/>
          </w:rPr>
          <w:t>csregistracija@gmail.com</w:t>
        </w:r>
      </w:hyperlink>
      <w:r>
        <w:rPr>
          <w:rStyle w:val="Hyperlink"/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E67848" w:rsidRDefault="00E67848" w:rsidP="00E67848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Слике за све чланове клуба у у електронском облику минимално </w:t>
      </w:r>
      <w:r>
        <w:rPr>
          <w:rFonts w:ascii="Arial" w:hAnsi="Arial" w:cs="Arial"/>
          <w:b/>
          <w:sz w:val="28"/>
          <w:szCs w:val="28"/>
          <w:lang w:val="sr-Cyrl-CS"/>
        </w:rPr>
        <w:t>160х200</w:t>
      </w:r>
      <w:r>
        <w:rPr>
          <w:rFonts w:ascii="Arial" w:hAnsi="Arial" w:cs="Arial"/>
          <w:sz w:val="28"/>
          <w:szCs w:val="28"/>
          <w:lang w:val="sr-Cyrl-CS"/>
        </w:rPr>
        <w:t xml:space="preserve"> а максимално </w:t>
      </w:r>
      <w:r>
        <w:rPr>
          <w:rFonts w:ascii="Arial" w:hAnsi="Arial" w:cs="Arial"/>
          <w:b/>
          <w:sz w:val="28"/>
          <w:szCs w:val="28"/>
          <w:lang w:val="sr-Cyrl-CS"/>
        </w:rPr>
        <w:t>250х300</w:t>
      </w:r>
      <w:r>
        <w:rPr>
          <w:rFonts w:ascii="Arial" w:hAnsi="Arial" w:cs="Arial"/>
          <w:sz w:val="28"/>
          <w:szCs w:val="28"/>
          <w:lang w:val="sr-Cyrl-CS"/>
        </w:rPr>
        <w:t xml:space="preserve"> пиксела (сликати портрет изблиза)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Поред горе нев</w:t>
      </w:r>
      <w:r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ru-RU"/>
        </w:rPr>
        <w:t>ден</w:t>
      </w:r>
      <w:r>
        <w:rPr>
          <w:rFonts w:ascii="Arial" w:hAnsi="Arial" w:cs="Arial"/>
          <w:sz w:val="28"/>
          <w:szCs w:val="28"/>
          <w:lang w:val="sr-Cyrl-CS"/>
        </w:rPr>
        <w:t>ог</w:t>
      </w:r>
      <w:r>
        <w:rPr>
          <w:rFonts w:ascii="Arial" w:hAnsi="Arial" w:cs="Arial"/>
          <w:sz w:val="28"/>
          <w:szCs w:val="28"/>
          <w:lang w:val="ru-RU"/>
        </w:rPr>
        <w:t xml:space="preserve"> клубови треба да доставе и следеће:</w:t>
      </w:r>
    </w:p>
    <w:p w:rsidR="00E67848" w:rsidRDefault="00E67848" w:rsidP="00E67848">
      <w:pPr>
        <w:numPr>
          <w:ilvl w:val="1"/>
          <w:numId w:val="1"/>
        </w:numPr>
        <w:tabs>
          <w:tab w:val="num" w:pos="1080"/>
          <w:tab w:val="left" w:pos="153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Формулар за регистрацију који је достављен у електронском облику доставити га и у штампаном са печатом и потписом потписом овлашћеног лица</w:t>
      </w:r>
      <w:r>
        <w:rPr>
          <w:rFonts w:ascii="Arial" w:hAnsi="Arial" w:cs="Arial"/>
          <w:sz w:val="28"/>
          <w:szCs w:val="28"/>
        </w:rPr>
        <w:t>,</w:t>
      </w:r>
    </w:p>
    <w:p w:rsidR="00E67848" w:rsidRDefault="00E67848" w:rsidP="00E67848">
      <w:pPr>
        <w:numPr>
          <w:ilvl w:val="1"/>
          <w:numId w:val="1"/>
        </w:numPr>
        <w:tabs>
          <w:tab w:val="num" w:pos="1080"/>
          <w:tab w:val="left" w:pos="153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Исписницу(е) за играче који прелазе из клуба у клуб,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доставити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електрпнски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E67848" w:rsidRDefault="00E67848" w:rsidP="00E67848">
      <w:pPr>
        <w:numPr>
          <w:ilvl w:val="1"/>
          <w:numId w:val="1"/>
        </w:numPr>
        <w:tabs>
          <w:tab w:val="num" w:pos="1080"/>
          <w:tab w:val="left" w:pos="153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Брисовницу уколико играч прелази из другог такмичарског подручја (ШС Београда и ШС Војводине),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Такса за регистрацију</w:t>
      </w:r>
      <w:r>
        <w:rPr>
          <w:rFonts w:ascii="Arial" w:hAnsi="Arial" w:cs="Arial"/>
          <w:sz w:val="28"/>
          <w:szCs w:val="28"/>
          <w:lang w:val="ru-RU"/>
        </w:rPr>
        <w:t xml:space="preserve"> у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ru-RU"/>
        </w:rPr>
        <w:t>. години износи:</w:t>
      </w:r>
    </w:p>
    <w:p w:rsidR="00E67848" w:rsidRDefault="00E67848" w:rsidP="00E67848">
      <w:pPr>
        <w:numPr>
          <w:ilvl w:val="1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клубове Прве лиге Србије по 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>30.000</w:t>
      </w:r>
      <w:r>
        <w:rPr>
          <w:rFonts w:ascii="Arial" w:hAnsi="Arial" w:cs="Arial"/>
          <w:sz w:val="28"/>
          <w:szCs w:val="28"/>
          <w:lang w:val="ru-RU"/>
        </w:rPr>
        <w:t xml:space="preserve"> динара, </w:t>
      </w:r>
    </w:p>
    <w:p w:rsidR="00E67848" w:rsidRDefault="00E67848" w:rsidP="00E67848">
      <w:pPr>
        <w:numPr>
          <w:ilvl w:val="1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клубове Прве лиге Централне Србије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b/>
          <w:color w:val="0000FF"/>
          <w:sz w:val="28"/>
          <w:szCs w:val="28"/>
          <w:lang w:val="sr-Latn-CS"/>
        </w:rPr>
        <w:t>2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8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>.000</w:t>
      </w:r>
      <w:r>
        <w:rPr>
          <w:rFonts w:ascii="Arial" w:hAnsi="Arial" w:cs="Arial"/>
          <w:sz w:val="28"/>
          <w:szCs w:val="28"/>
          <w:lang w:val="ru-RU"/>
        </w:rPr>
        <w:t xml:space="preserve"> динара,</w:t>
      </w:r>
    </w:p>
    <w:p w:rsidR="00E67848" w:rsidRDefault="00E67848" w:rsidP="00E67848">
      <w:pPr>
        <w:numPr>
          <w:ilvl w:val="1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клубове </w:t>
      </w:r>
      <w:r>
        <w:rPr>
          <w:rFonts w:ascii="Arial" w:hAnsi="Arial" w:cs="Arial"/>
          <w:sz w:val="28"/>
          <w:szCs w:val="28"/>
          <w:lang w:val="ru-RU"/>
        </w:rPr>
        <w:t xml:space="preserve">Друге лиге Централне Србије (Исток и Запад) 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по </w:t>
      </w:r>
      <w:r>
        <w:rPr>
          <w:rFonts w:ascii="Arial" w:hAnsi="Arial" w:cs="Arial"/>
          <w:b/>
          <w:color w:val="0000FF"/>
          <w:sz w:val="28"/>
          <w:szCs w:val="28"/>
          <w:lang w:val="sr-Latn-CS"/>
        </w:rPr>
        <w:t>2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4.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>000</w:t>
      </w:r>
      <w:r>
        <w:rPr>
          <w:rFonts w:ascii="Arial" w:hAnsi="Arial" w:cs="Arial"/>
          <w:sz w:val="28"/>
          <w:szCs w:val="28"/>
          <w:lang w:val="ru-RU"/>
        </w:rPr>
        <w:t xml:space="preserve"> динара,</w:t>
      </w:r>
    </w:p>
    <w:p w:rsidR="00E67848" w:rsidRDefault="00E67848" w:rsidP="00E67848">
      <w:pPr>
        <w:numPr>
          <w:ilvl w:val="1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клубове Лига ЦС (Исток, Запад, Север и Југ) по </w:t>
      </w:r>
      <w:r>
        <w:rPr>
          <w:rFonts w:ascii="Arial" w:hAnsi="Arial" w:cs="Arial"/>
          <w:b/>
          <w:color w:val="0000FF"/>
          <w:sz w:val="28"/>
          <w:szCs w:val="28"/>
          <w:lang w:val="sr-Latn-CS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/>
        </w:rPr>
        <w:t>3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>.000</w:t>
      </w:r>
      <w:r>
        <w:rPr>
          <w:rFonts w:ascii="Arial" w:hAnsi="Arial" w:cs="Arial"/>
          <w:sz w:val="28"/>
          <w:szCs w:val="28"/>
          <w:lang w:val="ru-RU"/>
        </w:rPr>
        <w:t xml:space="preserve"> динара,</w:t>
      </w:r>
    </w:p>
    <w:p w:rsidR="00E67848" w:rsidRDefault="00E67848" w:rsidP="00E67848">
      <w:pPr>
        <w:numPr>
          <w:ilvl w:val="1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клубове Регионалних и Окружних лига по </w:t>
      </w:r>
      <w:r>
        <w:rPr>
          <w:rFonts w:ascii="Arial" w:hAnsi="Arial" w:cs="Arial"/>
          <w:b/>
          <w:color w:val="0000FF"/>
          <w:sz w:val="28"/>
          <w:szCs w:val="28"/>
          <w:lang/>
        </w:rPr>
        <w:t>7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>.000</w:t>
      </w:r>
      <w:r>
        <w:rPr>
          <w:rFonts w:ascii="Arial" w:hAnsi="Arial" w:cs="Arial"/>
          <w:sz w:val="28"/>
          <w:szCs w:val="28"/>
          <w:lang w:val="ru-RU"/>
        </w:rPr>
        <w:t xml:space="preserve"> динара.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Напомена: </w:t>
      </w:r>
      <w:r>
        <w:rPr>
          <w:rFonts w:ascii="Arial" w:hAnsi="Arial" w:cs="Arial"/>
          <w:sz w:val="28"/>
          <w:szCs w:val="28"/>
          <w:lang w:val="sr-Cyrl-CS"/>
        </w:rPr>
        <w:t>У таксу за регистрацију укључена су и: такса за окружне шаховске савезе, омладинска такса (за клубове Прве лиге Србије, Прве и Друге лиге ЦС</w:t>
      </w:r>
      <w:r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која се враћа клубовима уколико им екипа буде наступила на Омладинској лиги Централне Србије за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sr-Cyrl-CS"/>
        </w:rPr>
        <w:t>. годину) и по два примерка часописа „Из шаховског угла“ (излазиће квартално) који ће се клубовима дистрибуирати преко окружних шаховских савеза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директно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.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Горе наведене таксе </w:t>
      </w:r>
      <w:r>
        <w:rPr>
          <w:rFonts w:ascii="Arial" w:hAnsi="Arial" w:cs="Arial"/>
          <w:sz w:val="28"/>
          <w:szCs w:val="28"/>
          <w:lang w:val="sr-Latn-CS"/>
        </w:rPr>
        <w:t>уплатити</w:t>
      </w:r>
      <w:r>
        <w:rPr>
          <w:rFonts w:ascii="Arial" w:hAnsi="Arial" w:cs="Arial"/>
          <w:b/>
          <w:color w:val="0000FF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искључиво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 xml:space="preserve">на жиро-рачун ШАХОВСКОГ САВЕЗА ЦЕНТРАЛНЕ СРБИЈЕ, Београд, број </w:t>
      </w:r>
      <w:r>
        <w:rPr>
          <w:rFonts w:ascii="Arial" w:hAnsi="Arial" w:cs="Arial"/>
          <w:b/>
          <w:sz w:val="28"/>
          <w:szCs w:val="28"/>
          <w:lang w:val="sr-Latn-CS"/>
        </w:rPr>
        <w:t>160-19343-53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. 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Без уплаћене таксе у пуном износу као и за клубове који имају дуговања из предтодних година неће бити извршена регистрација, а самим тим неће учествовати у систему такмичења ШСЦС за 201</w:t>
      </w:r>
      <w:r>
        <w:rPr>
          <w:rFonts w:ascii="Arial" w:hAnsi="Arial" w:cs="Arial"/>
          <w:sz w:val="28"/>
          <w:szCs w:val="28"/>
          <w:lang/>
        </w:rPr>
        <w:t>20</w:t>
      </w:r>
      <w:r>
        <w:rPr>
          <w:rFonts w:ascii="Arial" w:hAnsi="Arial" w:cs="Arial"/>
          <w:sz w:val="28"/>
          <w:szCs w:val="28"/>
          <w:lang w:val="sr-Cyrl-CS"/>
        </w:rPr>
        <w:t>. годину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E67848" w:rsidRDefault="00E67848" w:rsidP="00E6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Напомена: </w:t>
      </w:r>
    </w:p>
    <w:p w:rsidR="00E67848" w:rsidRDefault="00E67848" w:rsidP="00E6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Шаховски савез Централне Србије </w:t>
      </w:r>
      <w:r>
        <w:rPr>
          <w:rFonts w:ascii="Arial" w:hAnsi="Arial" w:cs="Arial"/>
          <w:b/>
          <w:sz w:val="28"/>
          <w:szCs w:val="28"/>
        </w:rPr>
        <w:t xml:space="preserve">je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од 2016. године прешао на издавање нових пластичних члански карата, са сликом. Шаховски клубови којима су издате нове чланске карте обавезни су да </w:t>
      </w:r>
      <w:proofErr w:type="spellStart"/>
      <w:r>
        <w:rPr>
          <w:rFonts w:ascii="Arial" w:hAnsi="Arial" w:cs="Arial"/>
          <w:b/>
          <w:sz w:val="28"/>
          <w:szCs w:val="28"/>
        </w:rPr>
        <w:t>их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доставе исте Шаховском савезу Централне Србије на оверу за 2020. годину.</w:t>
      </w:r>
    </w:p>
    <w:p w:rsidR="00E67848" w:rsidRDefault="00E67848" w:rsidP="00E6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 све које доставе слике у електронском облику слике биће издате нове чланске карте са сликом, без надокнаде.</w:t>
      </w:r>
    </w:p>
    <w:p w:rsidR="00E67848" w:rsidRDefault="00E67848" w:rsidP="00E6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Биће издате и чланске карте за оне који немају слику а када доставе слику у електронском облику биће издата нова чланска карта са сликом уз надокнаду од 500 динара, по чланској карти, које се уплаћују на жиро рачун Савеза.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клубове који не изврше регистрацију до 30. јуна текуће године сматраће се да су престали да буду чланови шаховске организације (Правилник о регистрацији, члан 10.). Чланови клуба који није обновио регистрацију могу без исписнице да се региструју за други клуб </w:t>
      </w:r>
      <w:r>
        <w:rPr>
          <w:rFonts w:ascii="Arial" w:hAnsi="Arial" w:cs="Arial"/>
          <w:sz w:val="28"/>
          <w:szCs w:val="28"/>
          <w:lang/>
        </w:rPr>
        <w:t>15</w:t>
      </w:r>
      <w:r>
        <w:rPr>
          <w:rFonts w:ascii="Arial" w:hAnsi="Arial" w:cs="Arial"/>
          <w:sz w:val="28"/>
          <w:szCs w:val="28"/>
          <w:lang w:val="ru-RU"/>
        </w:rPr>
        <w:t xml:space="preserve"> дана пре почетка односног лигашког такмичења са правом наступа "одмах".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Шаховски савез Централне Србије објавиће, најкасније до 31. јула списак клубова који се нису регистровали за 2020. годину, а били су регистровани за 201</w:t>
      </w:r>
      <w:r>
        <w:rPr>
          <w:rFonts w:ascii="Arial" w:hAnsi="Arial" w:cs="Arial"/>
          <w:sz w:val="28"/>
          <w:szCs w:val="28"/>
          <w:lang/>
        </w:rPr>
        <w:t>9</w:t>
      </w:r>
      <w:r>
        <w:rPr>
          <w:rFonts w:ascii="Arial" w:hAnsi="Arial" w:cs="Arial"/>
          <w:sz w:val="28"/>
          <w:szCs w:val="28"/>
          <w:lang w:val="ru-RU"/>
        </w:rPr>
        <w:t>. годину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оквиру шаховског клуба, као правног лица, може се регистровати више клубова – огранака. Услови регистрације за овако формиране клубове </w:t>
      </w:r>
      <w:r>
        <w:rPr>
          <w:rFonts w:ascii="Arial" w:hAnsi="Arial" w:cs="Arial"/>
          <w:sz w:val="28"/>
          <w:szCs w:val="28"/>
          <w:lang w:val="sr-Latn-CS"/>
        </w:rPr>
        <w:t>(</w:t>
      </w:r>
      <w:r>
        <w:rPr>
          <w:rFonts w:ascii="Arial" w:hAnsi="Arial" w:cs="Arial"/>
          <w:sz w:val="28"/>
          <w:szCs w:val="28"/>
          <w:lang w:val="sr-Cyrl-CS"/>
        </w:rPr>
        <w:t xml:space="preserve">огранке) </w:t>
      </w:r>
      <w:r>
        <w:rPr>
          <w:rFonts w:ascii="Arial" w:hAnsi="Arial" w:cs="Arial"/>
          <w:sz w:val="28"/>
          <w:szCs w:val="28"/>
          <w:lang w:val="ru-RU"/>
        </w:rPr>
        <w:t>су исти као и за остале клубове: обавезна чланарина према рангу такмичења и списак са минимум 15 играча на попуњеном на обрасцу за регистрацију клуба и доказ - решење АПР да је регистрован као огранак.</w:t>
      </w:r>
    </w:p>
    <w:p w:rsidR="00E67848" w:rsidRDefault="00E67848" w:rsidP="00E67848">
      <w:pPr>
        <w:pStyle w:val="BodyTextIndent"/>
        <w:jc w:val="center"/>
        <w:rPr>
          <w:rFonts w:ascii="Arial" w:hAnsi="Arial" w:cs="Arial"/>
          <w:b/>
          <w:szCs w:val="28"/>
          <w:lang w:val="ru-RU"/>
        </w:rPr>
      </w:pPr>
    </w:p>
    <w:p w:rsidR="00E67848" w:rsidRDefault="00E67848" w:rsidP="00E67848">
      <w:pPr>
        <w:pStyle w:val="BodyTextIndent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Регистрација страних играча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би страни играч био регистрован за клубове ШСЦС клубови су обавезни да уплате ШСЦС по 15.000 динара најкасније 15 дана пре почетка односног такмичења и доставе име страног такмичара. Клуб има право да региструје више иностраних шахиста, а право наступа на </w:t>
      </w:r>
      <w:r>
        <w:rPr>
          <w:rFonts w:ascii="Arial" w:hAnsi="Arial" w:cs="Arial"/>
          <w:sz w:val="28"/>
          <w:szCs w:val="28"/>
          <w:lang w:val="sr-Cyrl-CS"/>
        </w:rPr>
        <w:t>такмичењу за клуб у сваком колу има</w:t>
      </w:r>
      <w:r>
        <w:rPr>
          <w:rFonts w:ascii="Arial" w:hAnsi="Arial" w:cs="Arial"/>
          <w:sz w:val="28"/>
          <w:szCs w:val="28"/>
          <w:lang w:val="ru-RU"/>
        </w:rPr>
        <w:t xml:space="preserve"> само један.  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>Регистрација страних играча за клуб</w:t>
      </w:r>
      <w:r>
        <w:rPr>
          <w:rFonts w:ascii="Arial" w:hAnsi="Arial" w:cs="Arial"/>
          <w:sz w:val="28"/>
          <w:szCs w:val="28"/>
          <w:lang w:val="sr-Cyrl-CS"/>
        </w:rPr>
        <w:t>ове</w:t>
      </w:r>
      <w:r>
        <w:rPr>
          <w:rFonts w:ascii="Arial" w:hAnsi="Arial" w:cs="Arial"/>
          <w:sz w:val="28"/>
          <w:szCs w:val="28"/>
          <w:lang w:val="ru-RU"/>
        </w:rPr>
        <w:t xml:space="preserve"> који се такмиче у Првој лиги Србије или Купу Србије претходно се достављају Шаховском савезу Србије који треба да изда </w:t>
      </w:r>
      <w:r>
        <w:rPr>
          <w:rFonts w:ascii="Arial" w:hAnsi="Arial" w:cs="Arial"/>
          <w:sz w:val="28"/>
          <w:szCs w:val="28"/>
          <w:lang w:val="sr-Cyrl-CS"/>
        </w:rPr>
        <w:t>сагласност.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Двојна регистрација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 xml:space="preserve">Омладинци-ке рођени 2000. године и млађи морају бити регистровани на основну регистрацију за клубове Прве лиге Централне Србије, Друге лиге Србије (Запад и Исток) и Лига ЦС (Север, Запад, Исток и Југ). </w:t>
      </w:r>
    </w:p>
    <w:p w:rsidR="00E67848" w:rsidRDefault="00E67848" w:rsidP="00E67848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Омладинци-ке могу добити сагласност ових клубова да се регистрију на двојну регистрацију за клубове Прве лиге Србије и окружних лига као и за клубове других такмичарских подручја.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67848" w:rsidRDefault="00E67848" w:rsidP="00E6784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Судије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>Одлуком Управног одбора ШСЦС сваки клуб приликом регистрације мора регистровати најмање једног квалификованог шаховског судију (клупског, регионалног, републичког или вишег ранга).</w:t>
      </w:r>
    </w:p>
    <w:p w:rsidR="00E67848" w:rsidRDefault="00E67848" w:rsidP="00E67848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E67848" w:rsidRDefault="00E67848" w:rsidP="00E67848">
      <w:pPr>
        <w:pStyle w:val="BodyText"/>
        <w:ind w:left="5760"/>
        <w:jc w:val="center"/>
        <w:rPr>
          <w:rFonts w:ascii="Arial" w:hAnsi="Arial" w:cs="Arial"/>
          <w:lang w:val="ru-RU"/>
        </w:rPr>
      </w:pPr>
    </w:p>
    <w:p w:rsidR="00E67848" w:rsidRDefault="00E67848" w:rsidP="00E67848">
      <w:pPr>
        <w:pStyle w:val="BodyText"/>
        <w:ind w:left="5760"/>
        <w:jc w:val="center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lang w:val="ru-RU"/>
        </w:rPr>
        <w:t>С Е К Р Е Т А Р ШСЦС</w:t>
      </w:r>
    </w:p>
    <w:p w:rsidR="00E67848" w:rsidRDefault="00E67848" w:rsidP="00E67848">
      <w:pPr>
        <w:tabs>
          <w:tab w:val="left" w:pos="4962"/>
        </w:tabs>
        <w:ind w:left="115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67848" w:rsidRDefault="00E67848" w:rsidP="00E67848">
      <w:pPr>
        <w:keepLines/>
        <w:ind w:left="576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Миливоје Миливојевић, с.р</w:t>
      </w:r>
      <w:r>
        <w:rPr>
          <w:rFonts w:ascii="Arial" w:hAnsi="Arial" w:cs="Arial"/>
          <w:b/>
          <w:sz w:val="28"/>
          <w:szCs w:val="28"/>
        </w:rPr>
        <w:t>.</w:t>
      </w:r>
    </w:p>
    <w:p w:rsidR="00E67848" w:rsidRDefault="00E67848" w:rsidP="00E67848">
      <w:pPr>
        <w:rPr>
          <w:lang/>
        </w:rPr>
      </w:pPr>
    </w:p>
    <w:p w:rsidR="00E67848" w:rsidRDefault="00E67848" w:rsidP="00E67848"/>
    <w:p w:rsidR="0080382B" w:rsidRDefault="0080382B"/>
    <w:sectPr w:rsidR="0080382B" w:rsidSect="00E67848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2DB"/>
    <w:multiLevelType w:val="hybridMultilevel"/>
    <w:tmpl w:val="99CEEA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0CD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44BB7"/>
    <w:multiLevelType w:val="hybridMultilevel"/>
    <w:tmpl w:val="7AC43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CD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E67848"/>
    <w:rsid w:val="0080382B"/>
    <w:rsid w:val="00E6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6784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7848"/>
    <w:pPr>
      <w:jc w:val="both"/>
    </w:pPr>
    <w:rPr>
      <w:rFonts w:ascii="CTimesRoman" w:hAnsi="CTimesRoman"/>
      <w:b/>
      <w:sz w:val="28"/>
      <w:lang/>
    </w:rPr>
  </w:style>
  <w:style w:type="character" w:customStyle="1" w:styleId="BodyTextChar">
    <w:name w:val="Body Text Char"/>
    <w:basedOn w:val="DefaultParagraphFont"/>
    <w:link w:val="BodyText"/>
    <w:semiHidden/>
    <w:rsid w:val="00E67848"/>
    <w:rPr>
      <w:rFonts w:ascii="CTimesRoman" w:eastAsia="Times New Roman" w:hAnsi="CTimesRoman" w:cs="Times New Roman"/>
      <w:b/>
      <w:sz w:val="28"/>
      <w:szCs w:val="20"/>
      <w:lang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848"/>
    <w:pPr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848"/>
    <w:rPr>
      <w:rFonts w:ascii="Times New Roman" w:eastAsia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egistra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</cp:revision>
  <dcterms:created xsi:type="dcterms:W3CDTF">2020-03-02T10:09:00Z</dcterms:created>
  <dcterms:modified xsi:type="dcterms:W3CDTF">2020-03-02T10:14:00Z</dcterms:modified>
</cp:coreProperties>
</file>